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40" w:leftChars="-100" w:right="-240" w:rightChars="-100"/>
        <w:jc w:val="center"/>
        <w:rPr>
          <w:rFonts w:ascii="宋体" w:hAnsi="宋体" w:eastAsia="宋体" w:cs="微软雅黑"/>
          <w:b/>
          <w:spacing w:val="80"/>
          <w:sz w:val="28"/>
          <w:szCs w:val="28"/>
        </w:rPr>
      </w:pPr>
      <w:r>
        <w:rPr>
          <w:rFonts w:hint="eastAsia" w:ascii="宋体" w:hAnsi="宋体" w:eastAsia="宋体" w:cs="微软雅黑"/>
          <w:b/>
          <w:spacing w:val="80"/>
          <w:sz w:val="28"/>
          <w:szCs w:val="28"/>
        </w:rPr>
        <w:t>机构投资者风险承受能力调查问卷</w:t>
      </w:r>
    </w:p>
    <w:p>
      <w:pPr>
        <w:autoSpaceDE w:val="0"/>
        <w:autoSpaceDN w:val="0"/>
        <w:adjustRightInd w:val="0"/>
        <w:spacing w:line="360" w:lineRule="auto"/>
        <w:ind w:left="-240" w:leftChars="-100" w:right="-240" w:rightChars="-100"/>
        <w:rPr>
          <w:rFonts w:ascii="宋体" w:hAnsi="宋体" w:eastAsia="宋体" w:cs="Times New Roman"/>
          <w:szCs w:val="32"/>
        </w:rPr>
      </w:pPr>
      <w:r>
        <w:rPr>
          <w:rFonts w:hint="eastAsia" w:ascii="宋体" w:hAnsi="宋体" w:eastAsia="宋体" w:cs="仿宋"/>
          <w:szCs w:val="32"/>
        </w:rPr>
        <w:t>投资者名称：</w:t>
      </w:r>
      <w:r>
        <w:rPr>
          <w:rFonts w:ascii="宋体" w:hAnsi="宋体" w:eastAsia="宋体" w:cs="Times New Roman"/>
          <w:szCs w:val="32"/>
        </w:rPr>
        <w:t>__________________</w:t>
      </w:r>
      <w:r>
        <w:rPr>
          <w:rFonts w:hint="eastAsia" w:ascii="宋体" w:hAnsi="宋体" w:eastAsia="宋体" w:cs="Times New Roman"/>
          <w:szCs w:val="32"/>
        </w:rPr>
        <w:t xml:space="preserve">      </w:t>
      </w:r>
      <w:r>
        <w:rPr>
          <w:rFonts w:hint="eastAsia" w:ascii="宋体" w:hAnsi="宋体" w:eastAsia="宋体" w:cs="仿宋"/>
          <w:szCs w:val="32"/>
        </w:rPr>
        <w:t>填写日期：</w:t>
      </w:r>
      <w:r>
        <w:rPr>
          <w:rFonts w:ascii="宋体" w:hAnsi="宋体" w:eastAsia="宋体" w:cs="Times New Roman"/>
          <w:szCs w:val="32"/>
        </w:rPr>
        <w:t>__________________</w:t>
      </w:r>
    </w:p>
    <w:p>
      <w:pPr>
        <w:autoSpaceDE w:val="0"/>
        <w:autoSpaceDN w:val="0"/>
        <w:adjustRightInd w:val="0"/>
        <w:spacing w:line="360" w:lineRule="auto"/>
        <w:ind w:left="-240" w:leftChars="-100" w:right="-240" w:rightChars="-100" w:firstLine="480" w:firstLineChars="200"/>
        <w:rPr>
          <w:rFonts w:ascii="宋体" w:hAnsi="宋体" w:eastAsia="宋体" w:cs="仿宋"/>
          <w:szCs w:val="32"/>
        </w:rPr>
      </w:pPr>
      <w:r>
        <w:rPr>
          <w:rFonts w:hint="eastAsia" w:ascii="宋体" w:hAnsi="宋体" w:eastAsia="宋体" w:cs="仿宋"/>
          <w:szCs w:val="32"/>
        </w:rPr>
        <w:t>本问卷旨在了解贵单位可承受的风险程度等情况，借此协助贵单位选择合适的金融产品或金融服务类别，以符合贵单位的风险承受能力。</w:t>
      </w:r>
    </w:p>
    <w:p>
      <w:pPr>
        <w:autoSpaceDE w:val="0"/>
        <w:autoSpaceDN w:val="0"/>
        <w:adjustRightInd w:val="0"/>
        <w:spacing w:line="360" w:lineRule="auto"/>
        <w:ind w:left="-240" w:leftChars="-100" w:right="-240" w:rightChars="-100" w:firstLine="480" w:firstLineChars="200"/>
        <w:rPr>
          <w:rFonts w:ascii="宋体" w:hAnsi="宋体" w:eastAsia="宋体" w:cs="仿宋"/>
          <w:szCs w:val="32"/>
        </w:rPr>
      </w:pPr>
      <w:r>
        <w:rPr>
          <w:rFonts w:hint="eastAsia" w:ascii="宋体" w:hAnsi="宋体" w:eastAsia="宋体" w:cs="仿宋"/>
          <w:szCs w:val="32"/>
        </w:rPr>
        <w:t>风险承受能力评估是本公司向客户履行适当性职责的一个环节，其目的是使本公司所提供的金融产品或金融服务与贵单位的风险承受能力等级相匹配。</w:t>
      </w:r>
    </w:p>
    <w:p>
      <w:pPr>
        <w:autoSpaceDE w:val="0"/>
        <w:autoSpaceDN w:val="0"/>
        <w:adjustRightInd w:val="0"/>
        <w:spacing w:line="360" w:lineRule="auto"/>
        <w:ind w:left="-240" w:leftChars="-100" w:right="-240" w:rightChars="-100" w:firstLine="480" w:firstLineChars="200"/>
        <w:rPr>
          <w:rFonts w:ascii="宋体" w:hAnsi="宋体" w:eastAsia="宋体" w:cs="仿宋"/>
          <w:szCs w:val="32"/>
        </w:rPr>
      </w:pPr>
      <w:r>
        <w:rPr>
          <w:rFonts w:hint="eastAsia" w:ascii="宋体" w:hAnsi="宋体" w:eastAsia="宋体" w:cs="仿宋"/>
          <w:szCs w:val="32"/>
        </w:rPr>
        <w:t>本公司特别提醒贵单位：本公司向客户履行风险承受能力评估等适当性职责，并不能取代贵单位自己的投资判断，也不会降低金融产品或金融服务的固有风险。同时，与金融产品或金融服务相关的投资风险、履约责任以及费用等将由贵单位自行承担。</w:t>
      </w:r>
    </w:p>
    <w:p>
      <w:pPr>
        <w:autoSpaceDE w:val="0"/>
        <w:autoSpaceDN w:val="0"/>
        <w:adjustRightInd w:val="0"/>
        <w:spacing w:line="360" w:lineRule="auto"/>
        <w:ind w:left="-240" w:leftChars="-100" w:right="-240" w:rightChars="-100" w:firstLine="480" w:firstLineChars="200"/>
        <w:rPr>
          <w:rFonts w:ascii="宋体" w:hAnsi="宋体" w:eastAsia="宋体" w:cs="仿宋"/>
          <w:szCs w:val="32"/>
        </w:rPr>
      </w:pPr>
      <w:r>
        <w:rPr>
          <w:rFonts w:hint="eastAsia" w:ascii="宋体" w:hAnsi="宋体" w:eastAsia="宋体" w:cs="仿宋"/>
          <w:szCs w:val="32"/>
        </w:rPr>
        <w:t>本公司提示贵单位：本公司根据贵单位提供的信息对贵单位进行风险承受能力评估，开展适当性工作。贵单位应当如实提供相关信息及证明材料，并对所提供的信息和证明材料的真实性、准确性、完整性负责。</w:t>
      </w:r>
    </w:p>
    <w:p>
      <w:pPr>
        <w:spacing w:line="360" w:lineRule="auto"/>
        <w:ind w:left="-240" w:leftChars="-100" w:right="-240" w:rightChars="-100" w:firstLine="480" w:firstLineChars="200"/>
        <w:rPr>
          <w:rFonts w:ascii="宋体" w:hAnsi="宋体" w:eastAsia="宋体" w:cs="仿宋"/>
          <w:szCs w:val="32"/>
        </w:rPr>
      </w:pPr>
      <w:r>
        <w:rPr>
          <w:rFonts w:hint="eastAsia" w:ascii="宋体" w:hAnsi="宋体" w:eastAsia="宋体" w:cs="仿宋"/>
          <w:szCs w:val="32"/>
        </w:rPr>
        <w:t>本公司建议：当贵单位的各项状况发生重大变化时，需对贵单位所投资的金融产品及时进行重新审视，以确保贵单位的投资决定与贵单位可承受的投资风险程度等实际情况一致。</w:t>
      </w:r>
    </w:p>
    <w:p>
      <w:pPr>
        <w:spacing w:line="360" w:lineRule="auto"/>
        <w:ind w:left="-240" w:leftChars="-100" w:right="-240" w:rightChars="-100" w:firstLine="480" w:firstLineChars="200"/>
        <w:rPr>
          <w:rFonts w:ascii="宋体" w:hAnsi="宋体" w:eastAsia="宋体" w:cs="仿宋"/>
          <w:szCs w:val="32"/>
        </w:rPr>
      </w:pPr>
      <w:r>
        <w:rPr>
          <w:rFonts w:hint="eastAsia" w:ascii="宋体" w:hAnsi="宋体" w:eastAsia="宋体"/>
          <w:szCs w:val="32"/>
        </w:rPr>
        <w:t>本公司在此承诺，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1、贵单位的性质：</w:t>
      </w:r>
    </w:p>
    <w:p>
      <w:pPr>
        <w:spacing w:line="360" w:lineRule="auto"/>
        <w:ind w:left="-240" w:leftChars="-100" w:right="-240" w:rightChars="-100"/>
        <w:rPr>
          <w:rFonts w:ascii="宋体" w:hAnsi="宋体" w:eastAsia="宋体"/>
          <w:sz w:val="22"/>
          <w:szCs w:val="28"/>
        </w:rPr>
      </w:pPr>
      <w:r>
        <w:rPr>
          <w:rFonts w:hint="eastAsia" w:ascii="宋体" w:hAnsi="宋体" w:eastAsia="宋体"/>
          <w:sz w:val="22"/>
          <w:szCs w:val="28"/>
        </w:rPr>
        <w:t>A、国有企事业单位</w:t>
      </w:r>
      <w:r>
        <w:rPr>
          <w:rFonts w:ascii="宋体" w:hAnsi="宋体" w:eastAsia="宋体"/>
          <w:sz w:val="22"/>
          <w:szCs w:val="28"/>
        </w:rPr>
        <w:t xml:space="preserve"> </w:t>
      </w:r>
    </w:p>
    <w:p>
      <w:pPr>
        <w:spacing w:line="360" w:lineRule="auto"/>
        <w:ind w:left="-240" w:leftChars="-100" w:right="-240" w:rightChars="-100"/>
        <w:rPr>
          <w:rFonts w:ascii="宋体" w:hAnsi="宋体" w:eastAsia="宋体"/>
          <w:sz w:val="22"/>
          <w:szCs w:val="28"/>
        </w:rPr>
      </w:pPr>
      <w:r>
        <w:rPr>
          <w:rFonts w:hint="eastAsia" w:ascii="宋体" w:hAnsi="宋体" w:eastAsia="宋体"/>
          <w:sz w:val="22"/>
          <w:szCs w:val="28"/>
        </w:rPr>
        <w:t>B、非上市民营企业</w:t>
      </w:r>
      <w:r>
        <w:rPr>
          <w:rFonts w:ascii="宋体" w:hAnsi="宋体" w:eastAsia="宋体"/>
          <w:sz w:val="22"/>
          <w:szCs w:val="28"/>
        </w:rPr>
        <w:t xml:space="preserve"> </w:t>
      </w:r>
    </w:p>
    <w:p>
      <w:pPr>
        <w:spacing w:line="360" w:lineRule="auto"/>
        <w:ind w:left="-240" w:leftChars="-100" w:right="-240" w:rightChars="-100"/>
        <w:rPr>
          <w:rFonts w:ascii="宋体" w:hAnsi="宋体" w:eastAsia="宋体"/>
          <w:sz w:val="22"/>
          <w:szCs w:val="28"/>
        </w:rPr>
      </w:pPr>
      <w:r>
        <w:rPr>
          <w:rFonts w:hint="eastAsia" w:ascii="宋体" w:hAnsi="宋体" w:eastAsia="宋体"/>
          <w:sz w:val="22"/>
          <w:szCs w:val="28"/>
        </w:rPr>
        <w:t>C、外资企业</w:t>
      </w:r>
      <w:r>
        <w:rPr>
          <w:rFonts w:ascii="宋体" w:hAnsi="宋体" w:eastAsia="宋体"/>
          <w:sz w:val="22"/>
          <w:szCs w:val="28"/>
        </w:rPr>
        <w:t xml:space="preserve"> </w:t>
      </w:r>
    </w:p>
    <w:p>
      <w:pPr>
        <w:spacing w:line="360" w:lineRule="auto"/>
        <w:ind w:left="-240" w:leftChars="-100" w:right="-240" w:rightChars="-100"/>
        <w:rPr>
          <w:rFonts w:ascii="宋体" w:hAnsi="宋体" w:eastAsia="宋体"/>
          <w:sz w:val="22"/>
          <w:szCs w:val="28"/>
        </w:rPr>
      </w:pPr>
      <w:r>
        <w:rPr>
          <w:rFonts w:hint="eastAsia" w:ascii="宋体" w:hAnsi="宋体" w:eastAsia="宋体"/>
          <w:sz w:val="22"/>
          <w:szCs w:val="28"/>
        </w:rPr>
        <w:t>D、上市公司</w:t>
      </w:r>
      <w:r>
        <w:rPr>
          <w:rFonts w:ascii="宋体" w:hAnsi="宋体" w:eastAsia="宋体"/>
          <w:sz w:val="22"/>
          <w:szCs w:val="28"/>
        </w:rPr>
        <w:t xml:space="preserve"> </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2、贵单位的净资产规模为：</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A、500万元以下</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B、500万元-2000万元</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C、2000万元-1亿元</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D、超过1亿元</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3、贵单位年营业收入为：</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A、500万元以下</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B、500万元-2000万元</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C、2000万元-1亿元</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D、超过1亿元</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4、贵单位证券账户资产为：</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A、300万元以内</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B、300万元-1000万元</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C、1000万元-3000万元</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D、超过3000万元</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5、贵单位是否有尚未清偿的数额较大的债务？如有，主要是：</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A、民间借贷</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B、通过担保公司等中介机构募集的借款</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C、公司债务或企业债券</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D、银行贷款</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E、没有数额较大的债务</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6、对于金融产品投资工作，贵单位打算配置怎样的人员力量：</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A、一名兼职人员（包括负责人自行决策）</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B、一名专职人员</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C、多名兼职或专职人员，相互之间分工不明确</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D、多名兼职或专职人员，相互之间有明确分工</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7、贵单位所配置的负责金融产品投资工作的人员是否符合以下情况：</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A、现在或此前曾从事金融、经济或财会等与金融产品投资相关的工作超过两年</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B、已取得金融、经济或财会等与金融产品投资相关专业学士以上学位</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C、取得证券从业资格、基金从业资格、期货从业资格、注册会计师证书（CPA）或注册金融分析师证书（CFA）中的一项及以上</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D、本单位所配置的人员不符合以上任何一项描述</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8、贵单位是否建立了金融产品投资相关的管理制度：</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A、没有。因为要保证操作的灵活性</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B、已建立。包括了分工和授权的要求，但未包括投资风险控制的规则</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C、已建立。包括了分工和授权、风险控制等一系列与金融产品投资有关的规则</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 xml:space="preserve">9、贵单位的投资经验可以被概括为： </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A、有限：除银行活期账户和定期存款外，基本没有其他投资经验</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B、一般：除银行活期账户和定期存款外，购买过基金、保险等理财产品，但还需要进一步的指导</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C、丰富：本单位具有相当投资经验，参与过股票、基金等产品的交易，并倾向于自己做出投资决策</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D、非常丰富：本单位对于投资非常有经验，参与过权证、期货或创业板等高风险产品的交易</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10、有一位投资者一个月内做了15笔交易（同一品种买卖各一次算一笔），贵单位认为这样的交易频率：</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A、太高了</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B、偏高</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C、正常</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D、偏低</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11、过去一年时间内，您购买的不同金融产品（含同一类型的不同金融产品）的数量是：</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A、5个以下</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B、6至10个</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C、11至15个</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D、16个以上</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12、以下金融产品，贵单位投资经验在两年以上的有：</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A、银行存款</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B、债券、货币市场基金、债券型基金或其他固定收益类产品</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C、股票、混合型基金、偏股型基金、股票型基金等权益类投资品种</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D、期货、投资融券</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E、复杂金融产品或其他产品</w:t>
      </w:r>
    </w:p>
    <w:p>
      <w:pPr>
        <w:spacing w:line="360" w:lineRule="auto"/>
        <w:ind w:left="-240" w:leftChars="-100" w:right="-240" w:rightChars="-100"/>
        <w:rPr>
          <w:rFonts w:ascii="宋体" w:hAnsi="宋体" w:eastAsia="宋体"/>
          <w:sz w:val="22"/>
        </w:rPr>
      </w:pPr>
      <w:r>
        <w:rPr>
          <w:rFonts w:hint="eastAsia" w:ascii="宋体" w:hAnsi="宋体" w:eastAsia="宋体"/>
          <w:sz w:val="22"/>
        </w:rPr>
        <w:t>（注：本题可多选，但评分以其中最高分值选项为准。）</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13、如果贵单位曾经从事过金融产品投资，在交易较为活跃的月份，平均月交易额大概是多少：</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A、100万元以内</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B、100万元-300万元</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C、300万元-1000万元</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D、1000万元以上</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E、从未投资过金融产品</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14、贵单位用于证券投资的大部分资金不会用作其他用途的时间段为：</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A、短期——0到1年</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B、中期——1到5年</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C、长期——5年以上</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15、贵单位进行投资时的首要目标是：</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A、资产保值，我不愿意承担任何投资风险</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B、尽可能保证本金安全，不在乎收益率比较低</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C、产生较多的收益，可以承担一定的投资风险</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D、实现资产大幅增长，愿意承担很大的投资风险</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16、贵单位打算重点投资于哪个种类的投资品种？</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A、债券、货币市场基金、债券基金等固定收益类投资品种</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B、股票、混合型基金、偏股型基金、股票型基金等权益类投资品种</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C、期货、融资融券</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D、复杂金融产品</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E、其他产品</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17、您认为自己在短期和长期能承受的最大投资损失是多少？</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 3个月亏损3%以内，3年亏损10%以内</w:t>
      </w:r>
      <w:r>
        <w:rPr>
          <w:rFonts w:hint="eastAsia" w:ascii="宋体" w:hAnsi="宋体" w:eastAsia="宋体" w:cs="宋体"/>
          <w:sz w:val="22"/>
        </w:rPr>
        <w:t> </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 3个月亏损10%以内，3年亏损30%以内</w:t>
      </w:r>
      <w:r>
        <w:rPr>
          <w:rFonts w:hint="eastAsia" w:ascii="宋体" w:hAnsi="宋体" w:eastAsia="宋体" w:cs="宋体"/>
          <w:sz w:val="22"/>
        </w:rPr>
        <w:t> </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 3个月亏损15%以内，3年亏损40%以内</w:t>
      </w:r>
      <w:r>
        <w:rPr>
          <w:rFonts w:hint="eastAsia" w:ascii="宋体" w:hAnsi="宋体" w:eastAsia="宋体" w:cs="宋体"/>
          <w:sz w:val="22"/>
        </w:rPr>
        <w:t> </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 3个月亏损20%以上，3年亏损50%以上</w:t>
      </w:r>
      <w:r>
        <w:rPr>
          <w:rFonts w:hint="eastAsia" w:ascii="宋体" w:hAnsi="宋体" w:eastAsia="宋体" w:cs="宋体"/>
          <w:sz w:val="22"/>
        </w:rPr>
        <w:t> </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18、假设有两种不同的投资：投资A预期获得5%的收益，有可能承担非常小的损失投资B预期获得20%的收益，但有可能面临25%甚至更高的亏损。您将您的投资资产分配为：</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A、全部投资于A</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B、大部分投资于A</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C、两种投资各一半</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D、大部分投资于B</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E、全部投资于B</w:t>
      </w:r>
    </w:p>
    <w:p>
      <w:pPr>
        <w:spacing w:line="360" w:lineRule="auto"/>
        <w:ind w:left="-240" w:leftChars="-100" w:right="-240" w:rightChars="-100"/>
        <w:rPr>
          <w:rFonts w:ascii="宋体" w:hAnsi="宋体" w:eastAsia="宋体"/>
          <w:b/>
          <w:sz w:val="22"/>
          <w:szCs w:val="28"/>
        </w:rPr>
      </w:pPr>
      <w:r>
        <w:rPr>
          <w:rFonts w:hint="eastAsia" w:ascii="宋体" w:hAnsi="宋体" w:eastAsia="宋体"/>
          <w:b/>
          <w:sz w:val="22"/>
          <w:szCs w:val="28"/>
        </w:rPr>
        <w:t>19、贵单位参与金融产品投资的主要目的是什么：</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A、闲置资金保值增值</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B、获取主营业务以外的投资收益</w:t>
      </w:r>
    </w:p>
    <w:p>
      <w:pPr>
        <w:spacing w:line="360" w:lineRule="auto"/>
        <w:ind w:left="-240" w:leftChars="-100" w:right="-240" w:rightChars="-100"/>
        <w:rPr>
          <w:rFonts w:hint="eastAsia" w:ascii="宋体" w:hAnsi="宋体" w:eastAsia="宋体"/>
          <w:sz w:val="22"/>
          <w:lang w:eastAsia="zh-CN"/>
        </w:rPr>
      </w:pPr>
      <w:r>
        <w:rPr>
          <w:rFonts w:hint="eastAsia" w:ascii="宋体" w:hAnsi="宋体" w:eastAsia="宋体"/>
          <w:sz w:val="22"/>
        </w:rPr>
        <w:t>C、现货套期保值、对冲主营业务风险</w:t>
      </w:r>
    </w:p>
    <w:p>
      <w:pPr>
        <w:spacing w:line="360" w:lineRule="auto"/>
        <w:ind w:left="-240" w:leftChars="-100" w:right="-240" w:rightChars="-100"/>
        <w:rPr>
          <w:rFonts w:hint="eastAsia" w:ascii="宋体" w:hAnsi="宋体" w:eastAsia="宋体" w:cs="宋体"/>
          <w:sz w:val="22"/>
          <w:lang w:eastAsia="zh-CN"/>
        </w:rPr>
      </w:pPr>
      <w:r>
        <w:rPr>
          <w:rFonts w:hint="eastAsia" w:ascii="宋体" w:hAnsi="宋体" w:eastAsia="宋体"/>
          <w:sz w:val="22"/>
        </w:rPr>
        <w:t>D</w:t>
      </w:r>
      <w:r>
        <w:rPr>
          <w:rFonts w:hint="eastAsia" w:ascii="宋体" w:hAnsi="宋体" w:eastAsia="宋体" w:cs="宋体"/>
          <w:sz w:val="22"/>
        </w:rPr>
        <w:t>、减持已持有的股票</w:t>
      </w:r>
    </w:p>
    <w:p>
      <w:pPr>
        <w:spacing w:line="360" w:lineRule="auto"/>
        <w:ind w:left="-240" w:leftChars="-100" w:right="-240" w:rightChars="-100"/>
        <w:rPr>
          <w:rFonts w:hint="eastAsia" w:ascii="宋体" w:hAnsi="宋体" w:eastAsia="宋体" w:cs="宋体"/>
          <w:sz w:val="22"/>
        </w:rPr>
      </w:pPr>
    </w:p>
    <w:p>
      <w:pPr>
        <w:spacing w:line="360" w:lineRule="auto"/>
        <w:ind w:left="-240" w:leftChars="-100" w:right="-240" w:rightChars="-100"/>
        <w:rPr>
          <w:rFonts w:ascii="宋体" w:hAnsi="宋体" w:eastAsia="宋体"/>
          <w:sz w:val="22"/>
        </w:rPr>
      </w:pPr>
      <w:r>
        <w:rPr>
          <w:rFonts w:hint="eastAsia" w:ascii="宋体" w:hAnsi="宋体" w:eastAsia="宋体"/>
          <w:b/>
          <w:sz w:val="22"/>
          <w:lang w:val="en-US" w:eastAsia="zh-CN"/>
        </w:rPr>
        <w:t>机构投资者风险承受能力评分表：</w:t>
      </w:r>
    </w:p>
    <w:tbl>
      <w:tblPr>
        <w:tblStyle w:val="5"/>
        <w:tblpPr w:leftFromText="180" w:rightFromText="180" w:vertAnchor="text" w:horzAnchor="page" w:tblpXSpec="center" w:tblpY="191"/>
        <w:tblOverlap w:val="never"/>
        <w:tblW w:w="9380" w:type="dxa"/>
        <w:jc w:val="center"/>
        <w:shd w:val="clear" w:color="auto" w:fill="auto"/>
        <w:tblLayout w:type="autofit"/>
        <w:tblCellMar>
          <w:top w:w="0" w:type="dxa"/>
          <w:left w:w="0" w:type="dxa"/>
          <w:bottom w:w="0" w:type="dxa"/>
          <w:right w:w="0" w:type="dxa"/>
        </w:tblCellMar>
      </w:tblPr>
      <w:tblGrid>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tblGrid>
      <w:tr>
        <w:tblPrEx>
          <w:shd w:val="clear" w:color="auto" w:fill="auto"/>
          <w:tblCellMar>
            <w:top w:w="0" w:type="dxa"/>
            <w:left w:w="0" w:type="dxa"/>
            <w:bottom w:w="0" w:type="dxa"/>
            <w:right w:w="0" w:type="dxa"/>
          </w:tblCellMar>
        </w:tblPrEx>
        <w:trPr>
          <w:trHeight w:val="485" w:hRule="atLeast"/>
          <w:jc w:val="center"/>
        </w:trPr>
        <w:tc>
          <w:tcPr>
            <w:tcW w:w="46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13</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14</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15</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16</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17</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18</w:t>
            </w:r>
          </w:p>
        </w:tc>
        <w:tc>
          <w:tcPr>
            <w:tcW w:w="46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19</w:t>
            </w:r>
          </w:p>
        </w:tc>
      </w:tr>
      <w:tr>
        <w:tblPrEx>
          <w:shd w:val="clear" w:color="auto" w:fill="auto"/>
          <w:tblCellMar>
            <w:top w:w="0" w:type="dxa"/>
            <w:left w:w="0" w:type="dxa"/>
            <w:bottom w:w="0" w:type="dxa"/>
            <w:right w:w="0" w:type="dxa"/>
          </w:tblCellMar>
        </w:tblPrEx>
        <w:trPr>
          <w:trHeight w:val="403" w:hRule="atLeast"/>
          <w:jc w:val="center"/>
        </w:trPr>
        <w:tc>
          <w:tcPr>
            <w:tcW w:w="46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A</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5</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0</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kern w:val="0"/>
                <w:sz w:val="22"/>
                <w:szCs w:val="22"/>
                <w:u w:val="none"/>
                <w:lang w:val="en-US" w:eastAsia="zh-CN" w:bidi="zh-CN"/>
              </w:rPr>
              <w:t>0</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0</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0</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0</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r>
      <w:tr>
        <w:tblPrEx>
          <w:shd w:val="clear" w:color="auto" w:fill="auto"/>
          <w:tblCellMar>
            <w:top w:w="0" w:type="dxa"/>
            <w:left w:w="0" w:type="dxa"/>
            <w:bottom w:w="0" w:type="dxa"/>
            <w:right w:w="0" w:type="dxa"/>
          </w:tblCellMar>
        </w:tblPrEx>
        <w:trPr>
          <w:trHeight w:val="403" w:hRule="atLeast"/>
          <w:jc w:val="center"/>
        </w:trPr>
        <w:tc>
          <w:tcPr>
            <w:tcW w:w="46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B</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5</w:t>
            </w:r>
          </w:p>
        </w:tc>
      </w:tr>
      <w:tr>
        <w:tblPrEx>
          <w:shd w:val="clear" w:color="auto" w:fill="auto"/>
          <w:tblCellMar>
            <w:top w:w="0" w:type="dxa"/>
            <w:left w:w="0" w:type="dxa"/>
            <w:bottom w:w="0" w:type="dxa"/>
            <w:right w:w="0" w:type="dxa"/>
          </w:tblCellMar>
        </w:tblPrEx>
        <w:trPr>
          <w:trHeight w:val="403" w:hRule="atLeast"/>
          <w:jc w:val="center"/>
        </w:trPr>
        <w:tc>
          <w:tcPr>
            <w:tcW w:w="46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C</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2</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5</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5</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r>
      <w:tr>
        <w:tblPrEx>
          <w:shd w:val="clear" w:color="auto" w:fill="auto"/>
          <w:tblCellMar>
            <w:top w:w="0" w:type="dxa"/>
            <w:left w:w="0" w:type="dxa"/>
            <w:bottom w:w="0" w:type="dxa"/>
            <w:right w:w="0" w:type="dxa"/>
          </w:tblCellMar>
        </w:tblPrEx>
        <w:trPr>
          <w:trHeight w:val="403" w:hRule="atLeast"/>
          <w:jc w:val="center"/>
        </w:trPr>
        <w:tc>
          <w:tcPr>
            <w:tcW w:w="46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D</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3</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5</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0</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5</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1</w:t>
            </w:r>
          </w:p>
        </w:tc>
      </w:tr>
      <w:tr>
        <w:tblPrEx>
          <w:shd w:val="clear" w:color="auto" w:fill="auto"/>
          <w:tblCellMar>
            <w:top w:w="0" w:type="dxa"/>
            <w:left w:w="0" w:type="dxa"/>
            <w:bottom w:w="0" w:type="dxa"/>
            <w:right w:w="0" w:type="dxa"/>
          </w:tblCellMar>
        </w:tblPrEx>
        <w:trPr>
          <w:trHeight w:val="542" w:hRule="atLeast"/>
          <w:jc w:val="center"/>
        </w:trPr>
        <w:tc>
          <w:tcPr>
            <w:tcW w:w="469"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E</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4</w:t>
            </w: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4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6</w:t>
            </w:r>
          </w:p>
        </w:tc>
        <w:tc>
          <w:tcPr>
            <w:tcW w:w="4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22"/>
                <w:szCs w:val="22"/>
                <w:u w:val="none"/>
                <w:lang w:val="en-US" w:eastAsia="zh-CN" w:bidi="zh-CN"/>
              </w:rPr>
            </w:pPr>
            <w:r>
              <w:rPr>
                <w:rFonts w:hint="eastAsia" w:ascii="宋体" w:hAnsi="宋体" w:eastAsia="宋体" w:cs="宋体"/>
                <w:i w:val="0"/>
                <w:color w:val="000000"/>
                <w:sz w:val="22"/>
                <w:szCs w:val="22"/>
                <w:u w:val="none"/>
                <w:lang w:val="en-US" w:eastAsia="zh-CN"/>
              </w:rPr>
              <w:t>7</w:t>
            </w:r>
          </w:p>
        </w:tc>
        <w:tc>
          <w:tcPr>
            <w:tcW w:w="469"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10"/>
        <w:spacing w:line="360" w:lineRule="auto"/>
        <w:ind w:left="-240" w:leftChars="-100" w:right="-240" w:rightChars="-100"/>
        <w:rPr>
          <w:rFonts w:hint="eastAsia" w:ascii="宋体" w:hAnsi="宋体" w:eastAsia="宋体"/>
          <w:szCs w:val="32"/>
        </w:rPr>
      </w:pPr>
    </w:p>
    <w:p>
      <w:pPr>
        <w:spacing w:line="360" w:lineRule="auto"/>
        <w:ind w:right="-240" w:rightChars="-100"/>
        <w:rPr>
          <w:rFonts w:hint="eastAsia" w:ascii="宋体" w:hAnsi="宋体" w:eastAsia="宋体"/>
          <w:b/>
          <w:sz w:val="22"/>
          <w:lang w:val="en-US" w:eastAsia="zh-CN"/>
        </w:rPr>
      </w:pPr>
      <w:r>
        <w:rPr>
          <w:rFonts w:hint="eastAsia" w:ascii="宋体" w:hAnsi="宋体" w:eastAsia="宋体"/>
          <w:b/>
          <w:sz w:val="22"/>
          <w:lang w:val="en-US" w:eastAsia="zh-CN"/>
        </w:rPr>
        <w:t>机构投资者风险区间及适合投资的基金产品风险等级：</w:t>
      </w:r>
    </w:p>
    <w:tbl>
      <w:tblPr>
        <w:tblStyle w:val="5"/>
        <w:tblpPr w:leftFromText="180" w:rightFromText="180" w:vertAnchor="text" w:horzAnchor="page" w:tblpXSpec="center" w:tblpY="168"/>
        <w:tblOverlap w:val="never"/>
        <w:tblW w:w="9397" w:type="dxa"/>
        <w:jc w:val="center"/>
        <w:shd w:val="clear" w:color="auto" w:fill="auto"/>
        <w:tblLayout w:type="autofit"/>
        <w:tblCellMar>
          <w:top w:w="0" w:type="dxa"/>
          <w:left w:w="0" w:type="dxa"/>
          <w:bottom w:w="0" w:type="dxa"/>
          <w:right w:w="0" w:type="dxa"/>
        </w:tblCellMar>
      </w:tblPr>
      <w:tblGrid>
        <w:gridCol w:w="1772"/>
        <w:gridCol w:w="1525"/>
        <w:gridCol w:w="1525"/>
        <w:gridCol w:w="1525"/>
        <w:gridCol w:w="1525"/>
        <w:gridCol w:w="1525"/>
      </w:tblGrid>
      <w:tr>
        <w:tblPrEx>
          <w:shd w:val="clear" w:color="auto" w:fill="auto"/>
          <w:tblCellMar>
            <w:top w:w="0" w:type="dxa"/>
            <w:left w:w="0" w:type="dxa"/>
            <w:bottom w:w="0" w:type="dxa"/>
            <w:right w:w="0" w:type="dxa"/>
          </w:tblCellMar>
        </w:tblPrEx>
        <w:trPr>
          <w:trHeight w:val="466" w:hRule="atLeast"/>
          <w:jc w:val="center"/>
        </w:trPr>
        <w:tc>
          <w:tcPr>
            <w:tcW w:w="1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客 户 类 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C1</w:t>
            </w:r>
          </w:p>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(安逸型）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C2</w:t>
            </w:r>
          </w:p>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（保守型）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C3</w:t>
            </w:r>
          </w:p>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（稳健型）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C4</w:t>
            </w:r>
          </w:p>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（积极型）</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C5</w:t>
            </w:r>
          </w:p>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（激进型）</w:t>
            </w:r>
          </w:p>
        </w:tc>
      </w:tr>
      <w:tr>
        <w:tblPrEx>
          <w:shd w:val="clear" w:color="auto" w:fill="auto"/>
          <w:tblCellMar>
            <w:top w:w="0" w:type="dxa"/>
            <w:left w:w="0" w:type="dxa"/>
            <w:bottom w:w="0" w:type="dxa"/>
            <w:right w:w="0" w:type="dxa"/>
          </w:tblCellMar>
        </w:tblPrEx>
        <w:trPr>
          <w:trHeight w:val="530" w:hRule="atLeast"/>
          <w:jc w:val="center"/>
        </w:trPr>
        <w:tc>
          <w:tcPr>
            <w:tcW w:w="1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得 分 区 间</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10-20</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21-40</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41-60</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61-80</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val="en-US" w:eastAsia="zh-CN"/>
              </w:rPr>
              <w:t>81-100</w:t>
            </w:r>
          </w:p>
        </w:tc>
      </w:tr>
      <w:tr>
        <w:tblPrEx>
          <w:tblCellMar>
            <w:top w:w="0" w:type="dxa"/>
            <w:left w:w="0" w:type="dxa"/>
            <w:bottom w:w="0" w:type="dxa"/>
            <w:right w:w="0" w:type="dxa"/>
          </w:tblCellMar>
        </w:tblPrEx>
        <w:trPr>
          <w:trHeight w:val="583" w:hRule="atLeast"/>
          <w:jc w:val="center"/>
        </w:trPr>
        <w:tc>
          <w:tcPr>
            <w:tcW w:w="1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匹配风险等级</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R1</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R2</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R3</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R4</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R5</w:t>
            </w:r>
          </w:p>
        </w:tc>
      </w:tr>
    </w:tbl>
    <w:p>
      <w:pPr>
        <w:spacing w:line="360" w:lineRule="auto"/>
        <w:ind w:right="-240" w:rightChars="-100"/>
        <w:rPr>
          <w:rFonts w:ascii="宋体" w:hAnsi="宋体" w:eastAsia="宋体"/>
          <w:b/>
          <w:sz w:val="22"/>
        </w:rPr>
      </w:pPr>
    </w:p>
    <w:p>
      <w:pPr>
        <w:spacing w:line="360" w:lineRule="auto"/>
        <w:ind w:right="-240" w:rightChars="-100"/>
        <w:rPr>
          <w:rFonts w:hint="eastAsia" w:ascii="宋体" w:hAnsi="宋体" w:eastAsia="宋体"/>
          <w:b/>
          <w:sz w:val="22"/>
          <w:lang w:val="en-US" w:eastAsia="zh-CN"/>
        </w:rPr>
      </w:pPr>
      <w:r>
        <w:rPr>
          <w:rFonts w:hint="eastAsia" w:ascii="宋体" w:hAnsi="宋体" w:eastAsia="宋体"/>
          <w:b/>
          <w:sz w:val="22"/>
          <w:lang w:val="en-US" w:eastAsia="zh-CN"/>
        </w:rPr>
        <w:t>贵单位以上问题的总分为（   ）分。按照以上分类标准，贵单位属于（      ）型投资者。</w:t>
      </w:r>
    </w:p>
    <w:p>
      <w:pPr>
        <w:spacing w:line="360" w:lineRule="auto"/>
        <w:ind w:right="-240" w:rightChars="-100"/>
        <w:rPr>
          <w:rFonts w:hint="eastAsia" w:ascii="宋体" w:hAnsi="宋体" w:eastAsia="宋体"/>
          <w:b/>
          <w:sz w:val="22"/>
          <w:lang w:val="en-US" w:eastAsia="zh-CN"/>
        </w:rPr>
      </w:pPr>
    </w:p>
    <w:p>
      <w:pPr>
        <w:pStyle w:val="10"/>
        <w:spacing w:line="360" w:lineRule="auto"/>
        <w:ind w:left="-240" w:leftChars="-100" w:right="-240" w:rightChars="-100"/>
        <w:rPr>
          <w:rFonts w:hint="eastAsia" w:ascii="宋体" w:hAnsi="宋体" w:eastAsia="宋体"/>
          <w:szCs w:val="32"/>
          <w:lang w:val="en-US" w:eastAsia="zh-CN"/>
        </w:rPr>
      </w:pPr>
      <w:r>
        <w:rPr>
          <w:rFonts w:hint="eastAsia" w:ascii="宋体" w:hAnsi="宋体" w:eastAsia="宋体"/>
          <w:szCs w:val="32"/>
        </w:rPr>
        <w:sym w:font="Wingdings 2" w:char="00A3"/>
      </w:r>
      <w:r>
        <w:rPr>
          <w:rFonts w:hint="eastAsia" w:ascii="宋体" w:hAnsi="宋体" w:eastAsia="宋体"/>
          <w:szCs w:val="32"/>
          <w:lang w:val="en-US" w:eastAsia="zh-CN"/>
        </w:rPr>
        <w:t>本单位接受问卷调查结果。</w:t>
      </w:r>
    </w:p>
    <w:p>
      <w:pPr>
        <w:pStyle w:val="10"/>
        <w:spacing w:line="360" w:lineRule="auto"/>
        <w:ind w:left="-240" w:leftChars="-100" w:right="-240" w:rightChars="-100"/>
        <w:rPr>
          <w:rFonts w:hint="eastAsia" w:ascii="宋体" w:hAnsi="宋体" w:eastAsia="宋体"/>
          <w:szCs w:val="32"/>
          <w:lang w:val="en-US" w:eastAsia="zh-CN"/>
        </w:rPr>
      </w:pPr>
      <w:r>
        <w:rPr>
          <w:rFonts w:hint="eastAsia" w:ascii="宋体" w:hAnsi="宋体" w:eastAsia="宋体"/>
          <w:szCs w:val="32"/>
        </w:rPr>
        <w:sym w:font="Wingdings 2" w:char="00A3"/>
      </w:r>
      <w:r>
        <w:rPr>
          <w:rFonts w:hint="eastAsia" w:ascii="宋体" w:hAnsi="宋体" w:eastAsia="宋体"/>
          <w:szCs w:val="32"/>
          <w:lang w:val="en-US" w:eastAsia="zh-CN"/>
        </w:rPr>
        <w:t>本单位放弃风险承受能力调查，愿意接受将风险承受能力设为最低风险类别——安逸型。（若放弃本次调查，请在</w:t>
      </w:r>
      <w:r>
        <w:rPr>
          <w:rFonts w:hint="eastAsia" w:ascii="宋体" w:hAnsi="宋体" w:eastAsia="宋体"/>
          <w:szCs w:val="32"/>
        </w:rPr>
        <w:sym w:font="Wingdings 2" w:char="00A3"/>
      </w:r>
      <w:r>
        <w:rPr>
          <w:rFonts w:hint="eastAsia" w:ascii="宋体" w:hAnsi="宋体" w:eastAsia="宋体"/>
          <w:szCs w:val="32"/>
          <w:lang w:val="en-US" w:eastAsia="zh-CN"/>
        </w:rPr>
        <w:t>内打“√”）</w:t>
      </w:r>
    </w:p>
    <w:p>
      <w:pPr>
        <w:pStyle w:val="10"/>
        <w:spacing w:line="360" w:lineRule="auto"/>
        <w:ind w:left="-240" w:leftChars="-100" w:right="-240" w:rightChars="-100"/>
        <w:rPr>
          <w:rFonts w:hint="eastAsia" w:ascii="宋体" w:hAnsi="宋体" w:eastAsia="宋体"/>
          <w:szCs w:val="32"/>
          <w:lang w:val="en-US" w:eastAsia="zh-CN"/>
        </w:rPr>
      </w:pPr>
      <w:r>
        <w:rPr>
          <w:rFonts w:hint="eastAsia" w:ascii="宋体" w:hAnsi="宋体" w:eastAsia="宋体"/>
          <w:szCs w:val="32"/>
          <w:lang w:val="en-US" w:eastAsia="zh-CN"/>
        </w:rPr>
        <w:sym w:font="Wingdings 2" w:char="00A3"/>
      </w:r>
      <w:r>
        <w:rPr>
          <w:rFonts w:hint="eastAsia" w:ascii="宋体" w:hAnsi="宋体" w:eastAsia="宋体"/>
          <w:szCs w:val="32"/>
          <w:lang w:val="en-US" w:eastAsia="zh-CN"/>
        </w:rPr>
        <w:t>如本单位信息发生任何重大变化时，本单位将及时书面通知贵公司。</w:t>
      </w:r>
    </w:p>
    <w:p>
      <w:pPr>
        <w:pStyle w:val="10"/>
        <w:spacing w:line="360" w:lineRule="auto"/>
        <w:ind w:left="-240" w:leftChars="-100" w:right="-240" w:rightChars="-100"/>
        <w:rPr>
          <w:rFonts w:hint="eastAsia" w:ascii="宋体" w:hAnsi="宋体" w:eastAsia="宋体"/>
          <w:szCs w:val="32"/>
          <w:lang w:val="en-US" w:eastAsia="zh-CN"/>
        </w:rPr>
      </w:pPr>
    </w:p>
    <w:p>
      <w:pPr>
        <w:pStyle w:val="10"/>
        <w:spacing w:line="360" w:lineRule="auto"/>
        <w:ind w:left="-240" w:leftChars="-100" w:right="-240" w:rightChars="-100"/>
        <w:rPr>
          <w:rFonts w:hint="eastAsia" w:ascii="宋体" w:hAnsi="宋体" w:eastAsia="宋体"/>
          <w:szCs w:val="32"/>
          <w:lang w:val="en-US" w:eastAsia="zh-CN"/>
        </w:rPr>
      </w:pPr>
    </w:p>
    <w:p>
      <w:pPr>
        <w:pStyle w:val="10"/>
        <w:spacing w:line="360" w:lineRule="auto"/>
        <w:ind w:left="-240" w:leftChars="-100" w:right="-240" w:rightChars="-100"/>
        <w:rPr>
          <w:rFonts w:hint="eastAsia" w:ascii="宋体" w:hAnsi="宋体" w:eastAsia="宋体"/>
          <w:szCs w:val="32"/>
          <w:lang w:val="en-US" w:eastAsia="zh-CN"/>
        </w:rPr>
      </w:pPr>
      <w:r>
        <w:rPr>
          <w:rFonts w:hint="eastAsia" w:ascii="宋体" w:hAnsi="宋体" w:eastAsia="宋体"/>
          <w:szCs w:val="32"/>
          <w:lang w:val="en-US" w:eastAsia="zh-CN"/>
        </w:rPr>
        <w:t>问卷声明：</w:t>
      </w:r>
    </w:p>
    <w:p>
      <w:pPr>
        <w:pStyle w:val="10"/>
        <w:numPr>
          <w:ilvl w:val="0"/>
          <w:numId w:val="1"/>
        </w:numPr>
        <w:spacing w:line="360" w:lineRule="auto"/>
        <w:ind w:left="-240" w:leftChars="-100" w:right="-240" w:rightChars="-100"/>
        <w:rPr>
          <w:rFonts w:hint="eastAsia" w:ascii="宋体" w:hAnsi="宋体" w:eastAsia="宋体"/>
          <w:szCs w:val="32"/>
          <w:lang w:val="en-US" w:eastAsia="zh-CN"/>
        </w:rPr>
      </w:pPr>
      <w:r>
        <w:rPr>
          <w:rFonts w:hint="eastAsia" w:ascii="宋体" w:hAnsi="宋体" w:eastAsia="宋体"/>
          <w:szCs w:val="32"/>
          <w:lang w:val="en-US" w:eastAsia="zh-CN"/>
        </w:rPr>
        <w:t>投资者已知悉本问卷的设计方法和评价说明，以及拟投资基金产品的风险等级；</w:t>
      </w:r>
    </w:p>
    <w:p>
      <w:pPr>
        <w:pStyle w:val="10"/>
        <w:numPr>
          <w:ilvl w:val="0"/>
          <w:numId w:val="1"/>
        </w:numPr>
        <w:spacing w:line="360" w:lineRule="auto"/>
        <w:ind w:left="-240" w:leftChars="-100" w:right="-240" w:rightChars="-100"/>
        <w:rPr>
          <w:rFonts w:hint="default" w:ascii="宋体" w:hAnsi="宋体" w:eastAsia="宋体"/>
          <w:szCs w:val="32"/>
          <w:lang w:val="en-US" w:eastAsia="zh-CN"/>
        </w:rPr>
      </w:pPr>
      <w:r>
        <w:rPr>
          <w:rFonts w:hint="eastAsia" w:ascii="宋体" w:hAnsi="宋体" w:eastAsia="宋体"/>
          <w:szCs w:val="32"/>
          <w:lang w:val="en-US" w:eastAsia="zh-CN"/>
        </w:rPr>
        <w:t>投资者愿意接受此问卷的调查方法，并已如实回答；</w:t>
      </w:r>
    </w:p>
    <w:p>
      <w:pPr>
        <w:pStyle w:val="10"/>
        <w:numPr>
          <w:ilvl w:val="0"/>
          <w:numId w:val="1"/>
        </w:numPr>
        <w:spacing w:line="360" w:lineRule="auto"/>
        <w:ind w:left="-240" w:leftChars="-100" w:right="-240" w:rightChars="-100"/>
        <w:rPr>
          <w:rFonts w:hint="default" w:ascii="宋体" w:hAnsi="宋体" w:eastAsia="宋体"/>
          <w:szCs w:val="32"/>
          <w:lang w:val="en-US" w:eastAsia="zh-CN"/>
        </w:rPr>
      </w:pPr>
      <w:r>
        <w:rPr>
          <w:rFonts w:hint="eastAsia" w:ascii="宋体" w:hAnsi="宋体" w:eastAsia="宋体"/>
          <w:szCs w:val="32"/>
          <w:lang w:val="en-US" w:eastAsia="zh-CN"/>
        </w:rPr>
        <w:t>如投资者拟投资的基金产品风险特征超过其投资风险承受能力时，投资者确认此投资行为为本单位意愿行为，自行承担此投资风险。</w:t>
      </w:r>
    </w:p>
    <w:p>
      <w:pPr>
        <w:pStyle w:val="10"/>
        <w:spacing w:line="360" w:lineRule="auto"/>
        <w:ind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ascii="宋体" w:hAnsi="宋体" w:eastAsia="宋体"/>
          <w:szCs w:val="32"/>
        </w:rPr>
      </w:pPr>
      <w:r>
        <w:rPr>
          <w:rFonts w:hint="eastAsia" w:ascii="宋体" w:hAnsi="宋体" w:eastAsia="宋体"/>
          <w:szCs w:val="32"/>
        </w:rPr>
        <w:t>经办人签字：</w:t>
      </w:r>
    </w:p>
    <w:p>
      <w:pPr>
        <w:pStyle w:val="10"/>
        <w:spacing w:line="360" w:lineRule="auto"/>
        <w:ind w:left="-240" w:leftChars="-100" w:right="-240" w:rightChars="-100"/>
        <w:rPr>
          <w:rFonts w:ascii="宋体" w:hAnsi="宋体" w:eastAsia="宋体"/>
          <w:szCs w:val="32"/>
        </w:rPr>
      </w:pPr>
    </w:p>
    <w:p>
      <w:pPr>
        <w:pStyle w:val="10"/>
        <w:spacing w:line="360" w:lineRule="auto"/>
        <w:ind w:left="-240" w:leftChars="-100" w:right="-240" w:rightChars="-100"/>
        <w:rPr>
          <w:rFonts w:ascii="宋体" w:hAnsi="宋体" w:eastAsia="宋体"/>
          <w:szCs w:val="32"/>
        </w:rPr>
      </w:pPr>
      <w:r>
        <w:rPr>
          <w:rFonts w:hint="eastAsia" w:ascii="宋体" w:hAnsi="宋体" w:eastAsia="宋体"/>
          <w:szCs w:val="32"/>
        </w:rPr>
        <w:t>机构投资者盖章：</w:t>
      </w:r>
    </w:p>
    <w:p>
      <w:pPr>
        <w:pStyle w:val="10"/>
        <w:spacing w:line="360" w:lineRule="auto"/>
        <w:ind w:left="-240" w:leftChars="-100" w:right="-240" w:rightChars="-100"/>
        <w:rPr>
          <w:rFonts w:ascii="宋体" w:hAnsi="宋体" w:eastAsia="宋体"/>
          <w:szCs w:val="32"/>
        </w:rPr>
      </w:pPr>
    </w:p>
    <w:p>
      <w:pPr>
        <w:pStyle w:val="10"/>
        <w:spacing w:line="360" w:lineRule="auto"/>
        <w:ind w:left="-240" w:leftChars="-100" w:right="-240" w:rightChars="-100"/>
        <w:rPr>
          <w:rFonts w:hint="eastAsia" w:ascii="宋体" w:hAnsi="宋体" w:eastAsia="宋体"/>
          <w:szCs w:val="32"/>
        </w:rPr>
      </w:pPr>
      <w:r>
        <w:rPr>
          <w:rFonts w:hint="eastAsia" w:ascii="宋体" w:hAnsi="宋体" w:eastAsia="宋体"/>
          <w:szCs w:val="32"/>
        </w:rPr>
        <w:t>日期：</w:t>
      </w: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spacing w:line="360" w:lineRule="auto"/>
        <w:ind w:right="-240" w:rightChars="-100"/>
        <w:jc w:val="center"/>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机构投资者风险承受能力调查问卷</w:t>
      </w:r>
    </w:p>
    <w:p>
      <w:pPr>
        <w:spacing w:line="360" w:lineRule="auto"/>
        <w:ind w:right="-240" w:rightChars="-100"/>
        <w:jc w:val="center"/>
        <w:rPr>
          <w:rFonts w:hint="eastAsia" w:ascii="宋体" w:hAnsi="宋体" w:eastAsia="宋体"/>
          <w:b/>
          <w:bCs/>
          <w:sz w:val="30"/>
          <w:szCs w:val="30"/>
          <w:lang w:val="en-US" w:eastAsia="zh-CN"/>
        </w:rPr>
      </w:pPr>
      <w:r>
        <w:rPr>
          <w:rFonts w:hint="eastAsia" w:ascii="宋体" w:hAnsi="宋体" w:eastAsia="宋体"/>
          <w:b/>
          <w:bCs/>
          <w:sz w:val="30"/>
          <w:szCs w:val="30"/>
          <w:lang w:val="en-US" w:eastAsia="zh-CN"/>
        </w:rPr>
        <w:t>评价方法说明</w:t>
      </w:r>
    </w:p>
    <w:p>
      <w:pPr>
        <w:spacing w:line="360" w:lineRule="auto"/>
        <w:ind w:right="-240" w:rightChars="-100"/>
        <w:jc w:val="both"/>
        <w:rPr>
          <w:rFonts w:hint="eastAsia" w:ascii="宋体" w:hAnsi="宋体" w:eastAsia="宋体"/>
          <w:szCs w:val="32"/>
          <w:lang w:val="en-US" w:eastAsia="zh-CN"/>
        </w:rPr>
      </w:pPr>
    </w:p>
    <w:p>
      <w:pPr>
        <w:numPr>
          <w:ilvl w:val="0"/>
          <w:numId w:val="2"/>
        </w:numPr>
        <w:spacing w:line="360" w:lineRule="auto"/>
        <w:ind w:right="-240" w:rightChars="-100"/>
        <w:jc w:val="both"/>
        <w:rPr>
          <w:rFonts w:hint="eastAsia" w:ascii="宋体" w:hAnsi="宋体" w:eastAsia="宋体"/>
          <w:b/>
          <w:bCs/>
          <w:szCs w:val="32"/>
          <w:lang w:val="en-US" w:eastAsia="zh-CN"/>
        </w:rPr>
      </w:pPr>
      <w:r>
        <w:rPr>
          <w:rFonts w:hint="eastAsia" w:ascii="宋体" w:hAnsi="宋体" w:eastAsia="宋体"/>
          <w:b/>
          <w:bCs/>
          <w:szCs w:val="32"/>
          <w:lang w:val="en-US" w:eastAsia="zh-CN"/>
        </w:rPr>
        <w:t>本调查问卷对机构投资者风险承受能力等级的划分</w:t>
      </w:r>
    </w:p>
    <w:p>
      <w:pPr>
        <w:numPr>
          <w:ilvl w:val="0"/>
          <w:numId w:val="0"/>
        </w:numPr>
        <w:spacing w:line="360" w:lineRule="auto"/>
        <w:ind w:right="-240" w:rightChars="-100" w:firstLine="480"/>
        <w:jc w:val="both"/>
        <w:rPr>
          <w:rFonts w:hint="eastAsia" w:ascii="宋体" w:hAnsi="宋体" w:eastAsia="宋体"/>
          <w:szCs w:val="32"/>
          <w:lang w:val="en-US" w:eastAsia="zh-CN"/>
        </w:rPr>
      </w:pPr>
      <w:r>
        <w:rPr>
          <w:rFonts w:hint="eastAsia" w:ascii="宋体" w:hAnsi="宋体" w:eastAsia="宋体"/>
          <w:szCs w:val="32"/>
          <w:lang w:val="en-US" w:eastAsia="zh-CN"/>
        </w:rPr>
        <w:t>机构投资者由于性质、规模、资产状况、专业程度等差异形成不同的基金投资风险承受能力，本调查问卷将机构投资者分为安</w:t>
      </w:r>
      <w:r>
        <w:rPr>
          <w:rFonts w:hint="eastAsia" w:ascii="宋体" w:hAnsi="宋体" w:eastAsia="宋体" w:cs="宋体"/>
          <w:b w:val="0"/>
          <w:bCs w:val="0"/>
          <w:i w:val="0"/>
          <w:color w:val="000000"/>
          <w:kern w:val="0"/>
          <w:sz w:val="22"/>
          <w:szCs w:val="22"/>
          <w:u w:val="none"/>
          <w:lang w:val="en-US" w:eastAsia="zh-CN" w:bidi="ar"/>
        </w:rPr>
        <w:t>逸</w:t>
      </w:r>
      <w:r>
        <w:rPr>
          <w:rFonts w:hint="eastAsia" w:ascii="宋体" w:hAnsi="宋体" w:eastAsia="宋体"/>
          <w:szCs w:val="32"/>
          <w:lang w:val="en-US" w:eastAsia="zh-CN"/>
        </w:rPr>
        <w:t>型、保守型、稳健型、积极型、激进型五类，风险承受能力逐级递增。</w:t>
      </w:r>
    </w:p>
    <w:p>
      <w:pPr>
        <w:numPr>
          <w:ilvl w:val="0"/>
          <w:numId w:val="0"/>
        </w:numPr>
        <w:spacing w:line="360" w:lineRule="auto"/>
        <w:ind w:right="-240" w:rightChars="-100" w:firstLine="480"/>
        <w:jc w:val="both"/>
        <w:rPr>
          <w:rFonts w:hint="eastAsia" w:ascii="宋体" w:hAnsi="宋体" w:eastAsia="宋体"/>
          <w:szCs w:val="32"/>
          <w:lang w:val="en-US" w:eastAsia="zh-CN"/>
        </w:rPr>
      </w:pPr>
    </w:p>
    <w:p>
      <w:pPr>
        <w:numPr>
          <w:ilvl w:val="0"/>
          <w:numId w:val="2"/>
        </w:numPr>
        <w:spacing w:line="360" w:lineRule="auto"/>
        <w:ind w:right="-240" w:rightChars="-100"/>
        <w:jc w:val="both"/>
        <w:rPr>
          <w:rFonts w:hint="eastAsia" w:ascii="宋体" w:hAnsi="宋体" w:eastAsia="宋体"/>
          <w:szCs w:val="32"/>
          <w:lang w:val="en-US" w:eastAsia="zh-CN"/>
        </w:rPr>
      </w:pPr>
      <w:r>
        <w:rPr>
          <w:rFonts w:hint="eastAsia" w:ascii="宋体" w:hAnsi="宋体" w:eastAsia="宋体"/>
          <w:b/>
          <w:bCs/>
          <w:szCs w:val="32"/>
          <w:lang w:val="en-US" w:eastAsia="zh-CN"/>
        </w:rPr>
        <w:t>本调查问卷评分说明</w:t>
      </w:r>
    </w:p>
    <w:p>
      <w:pPr>
        <w:numPr>
          <w:ilvl w:val="0"/>
          <w:numId w:val="0"/>
        </w:numPr>
        <w:spacing w:line="360" w:lineRule="auto"/>
        <w:ind w:right="-240" w:rightChars="-100" w:firstLine="480"/>
        <w:jc w:val="both"/>
        <w:rPr>
          <w:rFonts w:hint="eastAsia" w:ascii="宋体" w:hAnsi="宋体" w:eastAsia="宋体"/>
          <w:szCs w:val="32"/>
          <w:lang w:val="en-US" w:eastAsia="zh-CN"/>
        </w:rPr>
      </w:pPr>
      <w:r>
        <w:rPr>
          <w:rFonts w:hint="eastAsia" w:ascii="宋体" w:hAnsi="宋体" w:eastAsia="宋体"/>
          <w:szCs w:val="32"/>
          <w:lang w:val="en-US" w:eastAsia="zh-CN"/>
        </w:rPr>
        <w:t>本调查问卷通过考察机构投资者的投资期限、投资经验、财务状况、投资目的等因素，对投资者的风险承受能力及风险偏好进行调查和评价。问卷由19道标准化选择题组成，其中每题共有3至5个选项，每道题的得分从1分至7分不等。将投资者各个选项的得分加总，得分越高代表投资者风险承受能力越高。投资者问卷得分与风险承受能力的对应关系见下表：</w:t>
      </w:r>
    </w:p>
    <w:tbl>
      <w:tblPr>
        <w:tblStyle w:val="5"/>
        <w:tblW w:w="8535" w:type="dxa"/>
        <w:tblInd w:w="-77" w:type="dxa"/>
        <w:shd w:val="clear" w:color="auto" w:fill="auto"/>
        <w:tblLayout w:type="fixed"/>
        <w:tblCellMar>
          <w:top w:w="0" w:type="dxa"/>
          <w:left w:w="0" w:type="dxa"/>
          <w:bottom w:w="0" w:type="dxa"/>
          <w:right w:w="0" w:type="dxa"/>
        </w:tblCellMar>
      </w:tblPr>
      <w:tblGrid>
        <w:gridCol w:w="1841"/>
        <w:gridCol w:w="3529"/>
        <w:gridCol w:w="3165"/>
      </w:tblGrid>
      <w:tr>
        <w:tblPrEx>
          <w:shd w:val="clear" w:color="auto" w:fill="auto"/>
          <w:tblCellMar>
            <w:top w:w="0" w:type="dxa"/>
            <w:left w:w="0" w:type="dxa"/>
            <w:bottom w:w="0" w:type="dxa"/>
            <w:right w:w="0" w:type="dxa"/>
          </w:tblCellMar>
        </w:tblPrEx>
        <w:trPr>
          <w:trHeight w:val="374" w:hRule="atLeast"/>
        </w:trPr>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投资者分数</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对应风险承受能力</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zh-CN"/>
              </w:rPr>
            </w:pPr>
            <w:r>
              <w:rPr>
                <w:rFonts w:hint="eastAsia" w:ascii="宋体" w:hAnsi="宋体" w:eastAsia="宋体" w:cs="宋体"/>
                <w:b/>
                <w:bCs/>
                <w:i w:val="0"/>
                <w:color w:val="000000"/>
                <w:kern w:val="0"/>
                <w:sz w:val="22"/>
                <w:szCs w:val="22"/>
                <w:u w:val="none"/>
                <w:lang w:val="en-US" w:eastAsia="zh-CN" w:bidi="ar"/>
              </w:rPr>
              <w:t>投资者类型</w:t>
            </w:r>
          </w:p>
        </w:tc>
      </w:tr>
      <w:tr>
        <w:tblPrEx>
          <w:shd w:val="clear" w:color="auto" w:fill="auto"/>
          <w:tblCellMar>
            <w:top w:w="0" w:type="dxa"/>
            <w:left w:w="0" w:type="dxa"/>
            <w:bottom w:w="0" w:type="dxa"/>
            <w:right w:w="0" w:type="dxa"/>
          </w:tblCellMar>
        </w:tblPrEx>
        <w:trPr>
          <w:trHeight w:val="374" w:hRule="atLeast"/>
        </w:trPr>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2"/>
                <w:szCs w:val="22"/>
                <w:u w:val="none"/>
                <w:lang w:val="en-US"/>
              </w:rPr>
            </w:pPr>
            <w:r>
              <w:rPr>
                <w:rFonts w:hint="eastAsia" w:ascii="宋体" w:hAnsi="宋体" w:eastAsia="宋体" w:cs="宋体"/>
                <w:b w:val="0"/>
                <w:bCs w:val="0"/>
                <w:i w:val="0"/>
                <w:color w:val="000000"/>
                <w:kern w:val="0"/>
                <w:sz w:val="22"/>
                <w:szCs w:val="22"/>
                <w:u w:val="none"/>
                <w:lang w:val="en-US" w:eastAsia="zh-CN" w:bidi="ar"/>
              </w:rPr>
              <w:t>10-20</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风险承受能力低</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b w:val="0"/>
                <w:bCs w:val="0"/>
                <w:i w:val="0"/>
                <w:color w:val="000000"/>
                <w:kern w:val="0"/>
                <w:sz w:val="22"/>
                <w:szCs w:val="22"/>
                <w:u w:val="none"/>
                <w:lang w:val="en-US" w:eastAsia="zh-CN" w:bidi="ar"/>
              </w:rPr>
              <w:t>C1（安逸型）</w:t>
            </w:r>
          </w:p>
        </w:tc>
      </w:tr>
      <w:tr>
        <w:tblPrEx>
          <w:shd w:val="clear" w:color="auto" w:fill="auto"/>
          <w:tblCellMar>
            <w:top w:w="0" w:type="dxa"/>
            <w:left w:w="0" w:type="dxa"/>
            <w:bottom w:w="0" w:type="dxa"/>
            <w:right w:w="0" w:type="dxa"/>
          </w:tblCellMar>
        </w:tblPrEx>
        <w:trPr>
          <w:trHeight w:val="374" w:hRule="atLeast"/>
        </w:trPr>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2"/>
                <w:szCs w:val="22"/>
                <w:u w:val="none"/>
                <w:lang w:val="en-US"/>
              </w:rPr>
            </w:pPr>
            <w:r>
              <w:rPr>
                <w:rFonts w:hint="eastAsia" w:ascii="宋体" w:hAnsi="宋体" w:eastAsia="宋体" w:cs="宋体"/>
                <w:b w:val="0"/>
                <w:bCs w:val="0"/>
                <w:i w:val="0"/>
                <w:color w:val="000000"/>
                <w:kern w:val="0"/>
                <w:sz w:val="22"/>
                <w:szCs w:val="22"/>
                <w:u w:val="none"/>
                <w:lang w:val="en-US" w:eastAsia="zh-CN" w:bidi="ar"/>
              </w:rPr>
              <w:t>21-40</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风险承受能力较低</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b w:val="0"/>
                <w:bCs w:val="0"/>
                <w:i w:val="0"/>
                <w:color w:val="000000"/>
                <w:kern w:val="0"/>
                <w:sz w:val="22"/>
                <w:szCs w:val="22"/>
                <w:u w:val="none"/>
                <w:lang w:val="en-US" w:eastAsia="zh-CN" w:bidi="ar"/>
              </w:rPr>
              <w:t>C2（保守型）</w:t>
            </w:r>
          </w:p>
        </w:tc>
      </w:tr>
      <w:tr>
        <w:tblPrEx>
          <w:shd w:val="clear" w:color="auto" w:fill="auto"/>
          <w:tblCellMar>
            <w:top w:w="0" w:type="dxa"/>
            <w:left w:w="0" w:type="dxa"/>
            <w:bottom w:w="0" w:type="dxa"/>
            <w:right w:w="0" w:type="dxa"/>
          </w:tblCellMar>
        </w:tblPrEx>
        <w:trPr>
          <w:trHeight w:val="374" w:hRule="atLeast"/>
        </w:trPr>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2"/>
                <w:szCs w:val="22"/>
                <w:u w:val="none"/>
                <w:lang w:val="en-US"/>
              </w:rPr>
            </w:pPr>
            <w:r>
              <w:rPr>
                <w:rFonts w:hint="eastAsia" w:ascii="宋体" w:hAnsi="宋体" w:eastAsia="宋体" w:cs="宋体"/>
                <w:b w:val="0"/>
                <w:bCs w:val="0"/>
                <w:i w:val="0"/>
                <w:color w:val="000000"/>
                <w:kern w:val="0"/>
                <w:sz w:val="22"/>
                <w:szCs w:val="22"/>
                <w:u w:val="none"/>
                <w:lang w:val="en-US" w:eastAsia="zh-CN" w:bidi="ar"/>
              </w:rPr>
              <w:t>41-60</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2"/>
                <w:szCs w:val="22"/>
                <w:u w:val="none"/>
                <w:lang w:val="en-US"/>
              </w:rPr>
            </w:pPr>
            <w:r>
              <w:rPr>
                <w:rFonts w:hint="eastAsia" w:ascii="宋体" w:hAnsi="宋体" w:eastAsia="宋体" w:cs="宋体"/>
                <w:b w:val="0"/>
                <w:bCs w:val="0"/>
                <w:i w:val="0"/>
                <w:color w:val="000000"/>
                <w:kern w:val="0"/>
                <w:sz w:val="22"/>
                <w:szCs w:val="22"/>
                <w:u w:val="none"/>
                <w:lang w:val="en-US" w:eastAsia="zh-CN" w:bidi="ar"/>
              </w:rPr>
              <w:t>风险承受能力中等</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b w:val="0"/>
                <w:bCs w:val="0"/>
                <w:i w:val="0"/>
                <w:color w:val="000000"/>
                <w:kern w:val="0"/>
                <w:sz w:val="22"/>
                <w:szCs w:val="22"/>
                <w:u w:val="none"/>
                <w:lang w:val="en-US" w:eastAsia="zh-CN" w:bidi="ar"/>
              </w:rPr>
              <w:t>C3（稳健型）</w:t>
            </w:r>
          </w:p>
        </w:tc>
      </w:tr>
      <w:tr>
        <w:tblPrEx>
          <w:shd w:val="clear" w:color="auto" w:fill="auto"/>
          <w:tblCellMar>
            <w:top w:w="0" w:type="dxa"/>
            <w:left w:w="0" w:type="dxa"/>
            <w:bottom w:w="0" w:type="dxa"/>
            <w:right w:w="0" w:type="dxa"/>
          </w:tblCellMar>
        </w:tblPrEx>
        <w:trPr>
          <w:trHeight w:val="374" w:hRule="atLeast"/>
        </w:trPr>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2"/>
                <w:szCs w:val="22"/>
                <w:u w:val="none"/>
                <w:lang w:val="en-US"/>
              </w:rPr>
            </w:pPr>
            <w:r>
              <w:rPr>
                <w:rFonts w:hint="eastAsia" w:ascii="宋体" w:hAnsi="宋体" w:eastAsia="宋体" w:cs="宋体"/>
                <w:b w:val="0"/>
                <w:bCs w:val="0"/>
                <w:i w:val="0"/>
                <w:color w:val="000000"/>
                <w:kern w:val="0"/>
                <w:sz w:val="22"/>
                <w:szCs w:val="22"/>
                <w:u w:val="none"/>
                <w:lang w:val="en-US" w:eastAsia="zh-CN" w:bidi="ar"/>
              </w:rPr>
              <w:t>61-80</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2"/>
                <w:szCs w:val="22"/>
                <w:u w:val="none"/>
                <w:lang w:val="en-US"/>
              </w:rPr>
            </w:pPr>
            <w:r>
              <w:rPr>
                <w:rFonts w:hint="eastAsia" w:ascii="宋体" w:hAnsi="宋体" w:eastAsia="宋体" w:cs="宋体"/>
                <w:b w:val="0"/>
                <w:bCs w:val="0"/>
                <w:i w:val="0"/>
                <w:color w:val="000000"/>
                <w:kern w:val="0"/>
                <w:sz w:val="22"/>
                <w:szCs w:val="22"/>
                <w:u w:val="none"/>
                <w:lang w:val="en-US" w:eastAsia="zh-CN" w:bidi="ar"/>
              </w:rPr>
              <w:t>风险承受能力较高</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b w:val="0"/>
                <w:bCs w:val="0"/>
                <w:i w:val="0"/>
                <w:color w:val="000000"/>
                <w:kern w:val="0"/>
                <w:sz w:val="22"/>
                <w:szCs w:val="22"/>
                <w:u w:val="none"/>
                <w:lang w:val="en-US" w:eastAsia="zh-CN" w:bidi="ar"/>
              </w:rPr>
              <w:t>C4（积极型）</w:t>
            </w:r>
          </w:p>
        </w:tc>
      </w:tr>
      <w:tr>
        <w:tblPrEx>
          <w:shd w:val="clear" w:color="auto" w:fill="auto"/>
          <w:tblCellMar>
            <w:top w:w="0" w:type="dxa"/>
            <w:left w:w="0" w:type="dxa"/>
            <w:bottom w:w="0" w:type="dxa"/>
            <w:right w:w="0" w:type="dxa"/>
          </w:tblCellMar>
        </w:tblPrEx>
        <w:trPr>
          <w:trHeight w:val="394" w:hRule="atLeast"/>
        </w:trPr>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2"/>
                <w:szCs w:val="22"/>
                <w:u w:val="none"/>
                <w:lang w:val="en-US"/>
              </w:rPr>
            </w:pPr>
            <w:r>
              <w:rPr>
                <w:rFonts w:hint="eastAsia" w:ascii="宋体" w:hAnsi="宋体" w:eastAsia="宋体" w:cs="宋体"/>
                <w:b w:val="0"/>
                <w:bCs w:val="0"/>
                <w:i w:val="0"/>
                <w:color w:val="000000"/>
                <w:kern w:val="0"/>
                <w:sz w:val="22"/>
                <w:szCs w:val="22"/>
                <w:u w:val="none"/>
                <w:lang w:val="en-US" w:eastAsia="zh-CN" w:bidi="ar"/>
              </w:rPr>
              <w:t>81-100</w:t>
            </w:r>
          </w:p>
        </w:tc>
        <w:tc>
          <w:tcPr>
            <w:tcW w:w="35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000000"/>
                <w:sz w:val="22"/>
                <w:szCs w:val="22"/>
                <w:u w:val="none"/>
                <w:lang w:val="en-US"/>
              </w:rPr>
            </w:pPr>
            <w:r>
              <w:rPr>
                <w:rFonts w:hint="eastAsia" w:ascii="宋体" w:hAnsi="宋体" w:eastAsia="宋体" w:cs="宋体"/>
                <w:b w:val="0"/>
                <w:bCs w:val="0"/>
                <w:i w:val="0"/>
                <w:color w:val="000000"/>
                <w:kern w:val="0"/>
                <w:sz w:val="22"/>
                <w:szCs w:val="22"/>
                <w:u w:val="none"/>
                <w:lang w:val="en-US" w:eastAsia="zh-CN" w:bidi="ar"/>
              </w:rPr>
              <w:t>风险承受能力高</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b w:val="0"/>
                <w:bCs w:val="0"/>
                <w:i w:val="0"/>
                <w:color w:val="000000"/>
                <w:kern w:val="0"/>
                <w:sz w:val="22"/>
                <w:szCs w:val="22"/>
                <w:u w:val="none"/>
                <w:lang w:val="en-US" w:eastAsia="zh-CN" w:bidi="ar"/>
              </w:rPr>
              <w:t>C5（激进型）</w:t>
            </w:r>
          </w:p>
        </w:tc>
      </w:tr>
    </w:tbl>
    <w:p>
      <w:pPr>
        <w:numPr>
          <w:ilvl w:val="0"/>
          <w:numId w:val="0"/>
        </w:numPr>
        <w:spacing w:line="360" w:lineRule="auto"/>
        <w:ind w:right="-240" w:rightChars="-100" w:firstLine="480"/>
        <w:jc w:val="both"/>
        <w:rPr>
          <w:rFonts w:hint="eastAsia" w:ascii="宋体" w:hAnsi="宋体" w:eastAsia="宋体"/>
          <w:szCs w:val="32"/>
          <w:lang w:val="en-US" w:eastAsia="zh-CN"/>
        </w:rPr>
      </w:pPr>
    </w:p>
    <w:p>
      <w:pPr>
        <w:numPr>
          <w:ilvl w:val="0"/>
          <w:numId w:val="2"/>
        </w:numPr>
        <w:spacing w:line="360" w:lineRule="auto"/>
        <w:ind w:right="-240" w:rightChars="-100"/>
        <w:jc w:val="both"/>
        <w:rPr>
          <w:rFonts w:hint="eastAsia" w:ascii="宋体" w:hAnsi="宋体" w:eastAsia="宋体"/>
          <w:b/>
          <w:bCs/>
          <w:szCs w:val="32"/>
          <w:lang w:val="en-US" w:eastAsia="zh-CN"/>
        </w:rPr>
      </w:pPr>
      <w:r>
        <w:rPr>
          <w:rFonts w:hint="eastAsia" w:ascii="宋体" w:hAnsi="宋体" w:eastAsia="宋体"/>
          <w:b/>
          <w:bCs/>
          <w:szCs w:val="32"/>
          <w:lang w:val="en-US" w:eastAsia="zh-CN"/>
        </w:rPr>
        <w:t>投资者风险承受能力与产品风险等级匹配关系</w:t>
      </w:r>
    </w:p>
    <w:tbl>
      <w:tblPr>
        <w:tblStyle w:val="5"/>
        <w:tblpPr w:leftFromText="180" w:rightFromText="180" w:vertAnchor="text" w:horzAnchor="page" w:tblpXSpec="center" w:tblpY="211"/>
        <w:tblOverlap w:val="never"/>
        <w:tblW w:w="8540" w:type="dxa"/>
        <w:jc w:val="center"/>
        <w:shd w:val="clear" w:color="auto" w:fill="auto"/>
        <w:tblLayout w:type="fixed"/>
        <w:tblCellMar>
          <w:top w:w="0" w:type="dxa"/>
          <w:left w:w="0" w:type="dxa"/>
          <w:bottom w:w="0" w:type="dxa"/>
          <w:right w:w="0" w:type="dxa"/>
        </w:tblCellMar>
      </w:tblPr>
      <w:tblGrid>
        <w:gridCol w:w="1688"/>
        <w:gridCol w:w="4725"/>
        <w:gridCol w:w="2127"/>
      </w:tblGrid>
      <w:tr>
        <w:tblPrEx>
          <w:shd w:val="clear" w:color="auto" w:fill="auto"/>
          <w:tblCellMar>
            <w:top w:w="0" w:type="dxa"/>
            <w:left w:w="0" w:type="dxa"/>
            <w:bottom w:w="0" w:type="dxa"/>
            <w:right w:w="0" w:type="dxa"/>
          </w:tblCellMar>
        </w:tblPrEx>
        <w:trPr>
          <w:trHeight w:val="270" w:hRule="atLeast"/>
          <w:jc w:val="center"/>
        </w:trPr>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lang w:val="en-US" w:eastAsia="zh-CN"/>
              </w:rPr>
            </w:pPr>
            <w:r>
              <w:rPr>
                <w:rFonts w:hint="eastAsia" w:ascii="宋体" w:hAnsi="宋体" w:eastAsia="宋体" w:cs="宋体"/>
                <w:b/>
                <w:bCs/>
                <w:i w:val="0"/>
                <w:color w:val="000000"/>
                <w:sz w:val="22"/>
                <w:szCs w:val="22"/>
                <w:u w:val="none"/>
                <w:lang w:val="en-US" w:eastAsia="zh-CN"/>
              </w:rPr>
              <w:t>产品风险等级</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2"/>
                <w:szCs w:val="22"/>
                <w:u w:val="none"/>
                <w:lang w:val="en-US" w:eastAsia="zh-CN" w:bidi="zh-CN"/>
              </w:rPr>
            </w:pPr>
            <w:r>
              <w:rPr>
                <w:rFonts w:hint="eastAsia" w:ascii="宋体" w:hAnsi="宋体" w:eastAsia="宋体" w:cs="宋体"/>
                <w:b/>
                <w:bCs/>
                <w:i w:val="0"/>
                <w:color w:val="000000"/>
                <w:kern w:val="0"/>
                <w:sz w:val="22"/>
                <w:szCs w:val="22"/>
                <w:u w:val="none"/>
                <w:lang w:val="en-US" w:eastAsia="zh-CN" w:bidi="zh-CN"/>
              </w:rPr>
              <w:t>产品类型参考</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zh-CN"/>
              </w:rPr>
            </w:pPr>
            <w:r>
              <w:rPr>
                <w:rFonts w:hint="eastAsia" w:ascii="宋体" w:hAnsi="宋体" w:eastAsia="宋体" w:cs="宋体"/>
                <w:b/>
                <w:bCs/>
                <w:i w:val="0"/>
                <w:color w:val="000000"/>
                <w:kern w:val="0"/>
                <w:sz w:val="22"/>
                <w:szCs w:val="22"/>
                <w:u w:val="none"/>
                <w:lang w:val="en-US" w:eastAsia="zh-CN" w:bidi="ar"/>
              </w:rPr>
              <w:t>投资者类型</w:t>
            </w:r>
          </w:p>
        </w:tc>
      </w:tr>
      <w:tr>
        <w:tblPrEx>
          <w:shd w:val="clear" w:color="auto" w:fill="auto"/>
          <w:tblCellMar>
            <w:top w:w="0" w:type="dxa"/>
            <w:left w:w="0" w:type="dxa"/>
            <w:bottom w:w="0" w:type="dxa"/>
            <w:right w:w="0" w:type="dxa"/>
          </w:tblCellMar>
        </w:tblPrEx>
        <w:trPr>
          <w:trHeight w:val="270" w:hRule="atLeast"/>
          <w:jc w:val="center"/>
        </w:trPr>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R1（低风险）</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color w:val="000000"/>
                <w:kern w:val="0"/>
                <w:sz w:val="24"/>
                <w:szCs w:val="24"/>
                <w:lang w:val="en-US" w:eastAsia="zh-CN" w:bidi="ar"/>
              </w:rPr>
              <w:t>产品结构简单，过往业绩及净值的历史波动率低，投资标的流动性很好、不含衍生品，估值政策清晰，杠杆不超监管部门规定的标准。</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C1、C2、C3、C4、C5</w:t>
            </w:r>
          </w:p>
          <w:p>
            <w:pPr>
              <w:keepNext w:val="0"/>
              <w:keepLines w:val="0"/>
              <w:widowControl/>
              <w:suppressLineNumbers w:val="0"/>
              <w:jc w:val="center"/>
              <w:textAlignment w:val="center"/>
              <w:rPr>
                <w:rFonts w:hint="default"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&amp;专业投资者</w:t>
            </w:r>
          </w:p>
        </w:tc>
      </w:tr>
      <w:tr>
        <w:tblPrEx>
          <w:shd w:val="clear" w:color="auto" w:fill="auto"/>
          <w:tblCellMar>
            <w:top w:w="0" w:type="dxa"/>
            <w:left w:w="0" w:type="dxa"/>
            <w:bottom w:w="0" w:type="dxa"/>
            <w:right w:w="0" w:type="dxa"/>
          </w:tblCellMar>
        </w:tblPrEx>
        <w:trPr>
          <w:trHeight w:val="270" w:hRule="atLeast"/>
          <w:jc w:val="center"/>
        </w:trPr>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R2（中低风险）</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sz w:val="24"/>
                <w:szCs w:val="24"/>
                <w:lang w:eastAsia="zh-CN"/>
              </w:rPr>
              <w:t>产品结构简单，过往业绩及净值的历史波动率较低，投资标的流动性好、投资衍生品以套期保值为目的，估值政策清晰，杠杆不超监管部门规定的标准。</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C2、C3、C4、C5</w:t>
            </w:r>
          </w:p>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zh-CN" w:eastAsia="zh-CN" w:bidi="zh-CN"/>
              </w:rPr>
            </w:pPr>
            <w:r>
              <w:rPr>
                <w:rFonts w:hint="eastAsia" w:ascii="宋体" w:hAnsi="宋体" w:eastAsia="宋体" w:cs="宋体"/>
                <w:b w:val="0"/>
                <w:bCs w:val="0"/>
                <w:i w:val="0"/>
                <w:color w:val="000000"/>
                <w:kern w:val="0"/>
                <w:sz w:val="22"/>
                <w:szCs w:val="22"/>
                <w:u w:val="none"/>
                <w:lang w:val="en-US" w:eastAsia="zh-CN" w:bidi="ar"/>
              </w:rPr>
              <w:t>&amp;专业投资者</w:t>
            </w:r>
          </w:p>
        </w:tc>
      </w:tr>
      <w:tr>
        <w:tblPrEx>
          <w:shd w:val="clear" w:color="auto" w:fill="auto"/>
          <w:tblCellMar>
            <w:top w:w="0" w:type="dxa"/>
            <w:left w:w="0" w:type="dxa"/>
            <w:bottom w:w="0" w:type="dxa"/>
            <w:right w:w="0" w:type="dxa"/>
          </w:tblCellMar>
        </w:tblPrEx>
        <w:trPr>
          <w:trHeight w:val="270" w:hRule="atLeast"/>
          <w:jc w:val="center"/>
        </w:trPr>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R3（中风险）</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sz w:val="24"/>
                <w:szCs w:val="24"/>
                <w:lang w:eastAsia="zh-CN"/>
              </w:rPr>
              <w:t>产品结构较简单，过往业绩及净值的历史波动率较高，投资标的流动性较好、投资衍生品以对冲为目的，估值政策清晰，杠杆不超监管部门规定的标准。</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C3、C4、C5</w:t>
            </w:r>
          </w:p>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zh-CN" w:eastAsia="zh-CN" w:bidi="zh-CN"/>
              </w:rPr>
            </w:pPr>
            <w:r>
              <w:rPr>
                <w:rFonts w:hint="eastAsia" w:ascii="宋体" w:hAnsi="宋体" w:eastAsia="宋体" w:cs="宋体"/>
                <w:b w:val="0"/>
                <w:bCs w:val="0"/>
                <w:i w:val="0"/>
                <w:color w:val="000000"/>
                <w:kern w:val="0"/>
                <w:sz w:val="22"/>
                <w:szCs w:val="22"/>
                <w:u w:val="none"/>
                <w:lang w:val="en-US" w:eastAsia="zh-CN" w:bidi="ar"/>
              </w:rPr>
              <w:t>&amp;专业投资者</w:t>
            </w:r>
          </w:p>
        </w:tc>
      </w:tr>
      <w:tr>
        <w:tblPrEx>
          <w:shd w:val="clear" w:color="auto" w:fill="auto"/>
          <w:tblCellMar>
            <w:top w:w="0" w:type="dxa"/>
            <w:left w:w="0" w:type="dxa"/>
            <w:bottom w:w="0" w:type="dxa"/>
            <w:right w:w="0" w:type="dxa"/>
          </w:tblCellMar>
        </w:tblPrEx>
        <w:trPr>
          <w:trHeight w:val="270" w:hRule="atLeast"/>
          <w:jc w:val="center"/>
        </w:trPr>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R4（中高风险）</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sz w:val="24"/>
                <w:szCs w:val="24"/>
                <w:lang w:eastAsia="zh-CN"/>
              </w:rPr>
              <w:t>产品结构较复杂，过往业绩及净值的历史波动率高，投资标的流动性较差，估值政策较清晰，一倍(不含)以上至三倍(不含)以下杠杆。</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C4、C5</w:t>
            </w:r>
          </w:p>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zh-CN" w:eastAsia="zh-CN" w:bidi="zh-CN"/>
              </w:rPr>
            </w:pPr>
            <w:r>
              <w:rPr>
                <w:rFonts w:hint="eastAsia" w:ascii="宋体" w:hAnsi="宋体" w:eastAsia="宋体" w:cs="宋体"/>
                <w:b w:val="0"/>
                <w:bCs w:val="0"/>
                <w:i w:val="0"/>
                <w:color w:val="000000"/>
                <w:kern w:val="0"/>
                <w:sz w:val="22"/>
                <w:szCs w:val="22"/>
                <w:u w:val="none"/>
                <w:lang w:val="en-US" w:eastAsia="zh-CN" w:bidi="ar"/>
              </w:rPr>
              <w:t>&amp;专业投资者</w:t>
            </w:r>
          </w:p>
        </w:tc>
      </w:tr>
      <w:tr>
        <w:tblPrEx>
          <w:shd w:val="clear" w:color="auto" w:fill="auto"/>
          <w:tblCellMar>
            <w:top w:w="0" w:type="dxa"/>
            <w:left w:w="0" w:type="dxa"/>
            <w:bottom w:w="0" w:type="dxa"/>
            <w:right w:w="0" w:type="dxa"/>
          </w:tblCellMar>
        </w:tblPrEx>
        <w:trPr>
          <w:trHeight w:val="270" w:hRule="atLeast"/>
          <w:jc w:val="center"/>
        </w:trPr>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R5（高风险）</w:t>
            </w:r>
          </w:p>
        </w:tc>
        <w:tc>
          <w:tcPr>
            <w:tcW w:w="4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000000"/>
                <w:kern w:val="0"/>
                <w:sz w:val="22"/>
                <w:szCs w:val="22"/>
                <w:u w:val="none"/>
                <w:lang w:val="en-US" w:eastAsia="zh-CN" w:bidi="zh-CN"/>
              </w:rPr>
            </w:pPr>
            <w:r>
              <w:rPr>
                <w:rFonts w:hint="eastAsia" w:ascii="宋体" w:hAnsi="宋体" w:eastAsia="宋体" w:cs="宋体"/>
                <w:sz w:val="24"/>
                <w:szCs w:val="24"/>
                <w:lang w:eastAsia="zh-CN"/>
              </w:rPr>
              <w:t>产品结构复杂，过往业绩及净值的历史波动率很高，投资标的流动性差，估值政策不清晰，三倍（含）以上杠杆。</w:t>
            </w:r>
          </w:p>
        </w:tc>
        <w:tc>
          <w:tcPr>
            <w:tcW w:w="2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zh-CN" w:eastAsia="zh-CN" w:bidi="zh-CN"/>
              </w:rPr>
            </w:pPr>
            <w:r>
              <w:rPr>
                <w:rFonts w:hint="eastAsia" w:ascii="宋体" w:hAnsi="宋体" w:eastAsia="宋体" w:cs="宋体"/>
                <w:b w:val="0"/>
                <w:bCs w:val="0"/>
                <w:i w:val="0"/>
                <w:color w:val="000000"/>
                <w:kern w:val="0"/>
                <w:sz w:val="22"/>
                <w:szCs w:val="22"/>
                <w:u w:val="none"/>
                <w:lang w:val="en-US" w:eastAsia="zh-CN" w:bidi="ar"/>
              </w:rPr>
              <w:t>C5&amp;专业投资者</w:t>
            </w:r>
          </w:p>
        </w:tc>
      </w:tr>
    </w:tbl>
    <w:p>
      <w:pPr>
        <w:numPr>
          <w:ilvl w:val="0"/>
          <w:numId w:val="0"/>
        </w:numPr>
        <w:spacing w:line="360" w:lineRule="auto"/>
        <w:ind w:right="-240" w:rightChars="-100" w:firstLine="480"/>
        <w:jc w:val="both"/>
        <w:rPr>
          <w:rFonts w:hint="default" w:ascii="宋体" w:hAnsi="宋体" w:eastAsia="宋体"/>
          <w:szCs w:val="32"/>
          <w:lang w:val="en-US" w:eastAsia="zh-CN"/>
        </w:rPr>
      </w:pPr>
    </w:p>
    <w:p>
      <w:pPr>
        <w:spacing w:line="360" w:lineRule="auto"/>
        <w:ind w:right="-240" w:rightChars="-100"/>
        <w:jc w:val="both"/>
        <w:rPr>
          <w:rFonts w:hint="eastAsia" w:ascii="宋体" w:hAnsi="宋体" w:eastAsia="宋体"/>
          <w:szCs w:val="32"/>
        </w:rPr>
      </w:pPr>
      <w:bookmarkStart w:id="0" w:name="_GoBack"/>
      <w:bookmarkEnd w:id="0"/>
    </w:p>
    <w:p>
      <w:pPr>
        <w:spacing w:line="360" w:lineRule="auto"/>
        <w:ind w:right="-240" w:rightChars="-100"/>
        <w:rPr>
          <w:rFonts w:hint="eastAsia" w:ascii="宋体" w:hAnsi="宋体" w:eastAsia="宋体"/>
          <w:szCs w:val="32"/>
        </w:rPr>
      </w:pPr>
    </w:p>
    <w:p>
      <w:pPr>
        <w:spacing w:line="360" w:lineRule="auto"/>
        <w:ind w:right="-240" w:rightChars="-100"/>
        <w:rPr>
          <w:rFonts w:ascii="宋体" w:hAnsi="宋体" w:eastAsia="宋体"/>
          <w:b/>
          <w:sz w:val="22"/>
        </w:rPr>
      </w:pPr>
    </w:p>
    <w:p>
      <w:pPr>
        <w:spacing w:line="360" w:lineRule="auto"/>
        <w:ind w:right="-240" w:rightChars="-100"/>
        <w:rPr>
          <w:rFonts w:ascii="宋体" w:hAnsi="宋体" w:eastAsia="宋体"/>
          <w:b/>
          <w:sz w:val="2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pStyle w:val="10"/>
        <w:spacing w:line="360" w:lineRule="auto"/>
        <w:ind w:left="-240" w:leftChars="-100" w:right="-240" w:rightChars="-100"/>
        <w:rPr>
          <w:rFonts w:hint="eastAsia" w:ascii="宋体" w:hAnsi="宋体" w:eastAsia="宋体"/>
          <w:szCs w:val="32"/>
        </w:rPr>
      </w:pPr>
    </w:p>
    <w:p>
      <w:pPr>
        <w:spacing w:line="360" w:lineRule="auto"/>
        <w:ind w:right="-240" w:rightChars="-100"/>
        <w:rPr>
          <w:rFonts w:ascii="宋体" w:hAnsi="宋体" w:eastAsia="宋体"/>
          <w:b/>
          <w:sz w:val="2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9267464"/>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left"/>
      <w:rPr>
        <w:rFonts w:eastAsiaTheme="minorEastAsia"/>
      </w:rPr>
    </w:pPr>
    <w:r>
      <w:rPr>
        <w:lang w:val="en-US" w:bidi="ar-SA"/>
      </w:rPr>
      <w:drawing>
        <wp:anchor distT="0" distB="0" distL="114300" distR="114300" simplePos="0" relativeHeight="251658240" behindDoc="0" locked="0" layoutInCell="1" allowOverlap="1">
          <wp:simplePos x="0" y="0"/>
          <wp:positionH relativeFrom="column">
            <wp:posOffset>-28575</wp:posOffset>
          </wp:positionH>
          <wp:positionV relativeFrom="paragraph">
            <wp:posOffset>-178435</wp:posOffset>
          </wp:positionV>
          <wp:extent cx="685800" cy="219075"/>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5800" cy="219075"/>
                  </a:xfrm>
                  <a:prstGeom prst="rect">
                    <a:avLst/>
                  </a:prstGeom>
                </pic:spPr>
              </pic:pic>
            </a:graphicData>
          </a:graphic>
        </wp:anchor>
      </w:drawing>
    </w:r>
    <w:r>
      <w:rPr>
        <w:rFonts w:eastAsiaTheme="minor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21711"/>
    <w:multiLevelType w:val="singleLevel"/>
    <w:tmpl w:val="B8521711"/>
    <w:lvl w:ilvl="0" w:tentative="0">
      <w:start w:val="1"/>
      <w:numFmt w:val="decimal"/>
      <w:suff w:val="nothing"/>
      <w:lvlText w:val="%1、"/>
      <w:lvlJc w:val="left"/>
    </w:lvl>
  </w:abstractNum>
  <w:abstractNum w:abstractNumId="1">
    <w:nsid w:val="650BCC89"/>
    <w:multiLevelType w:val="singleLevel"/>
    <w:tmpl w:val="650BCC8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30"/>
    <w:rsid w:val="00001FA4"/>
    <w:rsid w:val="000206E0"/>
    <w:rsid w:val="0002498E"/>
    <w:rsid w:val="00035661"/>
    <w:rsid w:val="00037188"/>
    <w:rsid w:val="000455D0"/>
    <w:rsid w:val="000943D3"/>
    <w:rsid w:val="000A786A"/>
    <w:rsid w:val="000C4A1B"/>
    <w:rsid w:val="000F5482"/>
    <w:rsid w:val="000F7933"/>
    <w:rsid w:val="001467FB"/>
    <w:rsid w:val="00153BD6"/>
    <w:rsid w:val="00166851"/>
    <w:rsid w:val="001D1766"/>
    <w:rsid w:val="001F29ED"/>
    <w:rsid w:val="002C0A4A"/>
    <w:rsid w:val="002D14D2"/>
    <w:rsid w:val="002E2939"/>
    <w:rsid w:val="002F4CA6"/>
    <w:rsid w:val="002F5DC0"/>
    <w:rsid w:val="00331442"/>
    <w:rsid w:val="003615C5"/>
    <w:rsid w:val="00387501"/>
    <w:rsid w:val="00387E84"/>
    <w:rsid w:val="00412930"/>
    <w:rsid w:val="00425A63"/>
    <w:rsid w:val="004430EB"/>
    <w:rsid w:val="004A4588"/>
    <w:rsid w:val="004D7E07"/>
    <w:rsid w:val="00527E5F"/>
    <w:rsid w:val="0053615B"/>
    <w:rsid w:val="0054124C"/>
    <w:rsid w:val="005651BC"/>
    <w:rsid w:val="005B627C"/>
    <w:rsid w:val="005B62D0"/>
    <w:rsid w:val="00692398"/>
    <w:rsid w:val="006A2AE5"/>
    <w:rsid w:val="006C279A"/>
    <w:rsid w:val="006D31C5"/>
    <w:rsid w:val="00727798"/>
    <w:rsid w:val="00745325"/>
    <w:rsid w:val="00770248"/>
    <w:rsid w:val="00773DBA"/>
    <w:rsid w:val="00795C4B"/>
    <w:rsid w:val="007B7073"/>
    <w:rsid w:val="00851E82"/>
    <w:rsid w:val="0091566F"/>
    <w:rsid w:val="0092127B"/>
    <w:rsid w:val="0096263C"/>
    <w:rsid w:val="00A622C2"/>
    <w:rsid w:val="00A63CF5"/>
    <w:rsid w:val="00A717BD"/>
    <w:rsid w:val="00A8763D"/>
    <w:rsid w:val="00AC1667"/>
    <w:rsid w:val="00B3289F"/>
    <w:rsid w:val="00B468CD"/>
    <w:rsid w:val="00B7607D"/>
    <w:rsid w:val="00BA0433"/>
    <w:rsid w:val="00BA1F63"/>
    <w:rsid w:val="00C0207C"/>
    <w:rsid w:val="00C066A2"/>
    <w:rsid w:val="00C700F0"/>
    <w:rsid w:val="00D115CF"/>
    <w:rsid w:val="00D15C9E"/>
    <w:rsid w:val="00D21D6F"/>
    <w:rsid w:val="00D83723"/>
    <w:rsid w:val="00DE74C2"/>
    <w:rsid w:val="00E37A78"/>
    <w:rsid w:val="00E81962"/>
    <w:rsid w:val="00E87F14"/>
    <w:rsid w:val="00EA5409"/>
    <w:rsid w:val="00F23FC5"/>
    <w:rsid w:val="00F31A82"/>
    <w:rsid w:val="00F46449"/>
    <w:rsid w:val="00F47037"/>
    <w:rsid w:val="00F652BE"/>
    <w:rsid w:val="00FD452B"/>
    <w:rsid w:val="00FD5A13"/>
    <w:rsid w:val="01FB246E"/>
    <w:rsid w:val="0D560FAF"/>
    <w:rsid w:val="229032DC"/>
    <w:rsid w:val="23CD4D58"/>
    <w:rsid w:val="2EFF64A6"/>
    <w:rsid w:val="39D16B5C"/>
    <w:rsid w:val="459D320F"/>
    <w:rsid w:val="45E206B2"/>
    <w:rsid w:val="6B8B32A6"/>
    <w:rsid w:val="6DEB1C57"/>
    <w:rsid w:val="7AE51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ourier New" w:hAnsi="Courier New" w:eastAsia="Courier New" w:cs="Courier New"/>
      <w:color w:val="000000"/>
      <w:kern w:val="0"/>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ourier New" w:hAnsi="Courier New" w:eastAsia="Courier New" w:cs="Courier New"/>
      <w:color w:val="000000"/>
      <w:kern w:val="0"/>
      <w:sz w:val="18"/>
      <w:szCs w:val="18"/>
      <w:lang w:val="zh-CN" w:bidi="zh-CN"/>
    </w:rPr>
  </w:style>
  <w:style w:type="character" w:customStyle="1" w:styleId="8">
    <w:name w:val="页脚 Char"/>
    <w:basedOn w:val="6"/>
    <w:link w:val="3"/>
    <w:qFormat/>
    <w:uiPriority w:val="99"/>
    <w:rPr>
      <w:rFonts w:ascii="Courier New" w:hAnsi="Courier New" w:eastAsia="Courier New" w:cs="Courier New"/>
      <w:color w:val="000000"/>
      <w:kern w:val="0"/>
      <w:sz w:val="18"/>
      <w:szCs w:val="18"/>
      <w:lang w:val="zh-CN" w:bidi="zh-CN"/>
    </w:rPr>
  </w:style>
  <w:style w:type="character" w:customStyle="1" w:styleId="9">
    <w:name w:val="批注框文本 Char"/>
    <w:basedOn w:val="6"/>
    <w:link w:val="2"/>
    <w:semiHidden/>
    <w:qFormat/>
    <w:uiPriority w:val="99"/>
    <w:rPr>
      <w:rFonts w:ascii="Courier New" w:hAnsi="Courier New" w:eastAsia="Courier New" w:cs="Courier New"/>
      <w:color w:val="000000"/>
      <w:kern w:val="0"/>
      <w:sz w:val="18"/>
      <w:szCs w:val="18"/>
      <w:lang w:val="zh-CN" w:bidi="zh-CN"/>
    </w:rPr>
  </w:style>
  <w:style w:type="paragraph" w:customStyle="1" w:styleId="10">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405</Words>
  <Characters>2311</Characters>
  <Lines>19</Lines>
  <Paragraphs>5</Paragraphs>
  <TotalTime>0</TotalTime>
  <ScaleCrop>false</ScaleCrop>
  <LinksUpToDate>false</LinksUpToDate>
  <CharactersWithSpaces>2711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2019-04-18T07:17:00Z</dcterms:created>
  <dc:creator>ping sun</dc:creator>
  <cp:lastModifiedBy>汇 林</cp:lastModifiedBy>
  <dcterms:modified xsi:type="dcterms:W3CDTF">2021-01-19T06:31:07Z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